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DC" w:rsidRPr="00646CFA" w:rsidRDefault="003036DC" w:rsidP="003036DC">
      <w:pPr>
        <w:spacing w:after="120"/>
        <w:outlineLvl w:val="4"/>
        <w:rPr>
          <w:rFonts w:ascii="Century Gothic" w:eastAsia="Times New Roman" w:hAnsi="Century Gothic" w:cs="Times New Roman"/>
          <w:bCs/>
          <w:color w:val="403152" w:themeColor="accent4" w:themeShade="80"/>
          <w:sz w:val="36"/>
          <w:szCs w:val="36"/>
        </w:rPr>
      </w:pPr>
      <w:r w:rsidRPr="00646CFA">
        <w:rPr>
          <w:rFonts w:ascii="Century Gothic" w:eastAsia="Times New Roman" w:hAnsi="Century Gothic" w:cs="Times New Roman"/>
          <w:bCs/>
          <w:color w:val="403152" w:themeColor="accent4" w:themeShade="80"/>
          <w:spacing w:val="4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A8B3C0" wp14:editId="2A04D07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6920" cy="587375"/>
            <wp:effectExtent l="0" t="0" r="5080" b="3175"/>
            <wp:wrapTight wrapText="bothSides">
              <wp:wrapPolygon edited="0">
                <wp:start x="0" y="0"/>
                <wp:lineTo x="0" y="21016"/>
                <wp:lineTo x="21201" y="21016"/>
                <wp:lineTo x="21201" y="0"/>
                <wp:lineTo x="0" y="0"/>
              </wp:wrapPolygon>
            </wp:wrapTight>
            <wp:docPr id="3" name="Picture 3" descr="OB OD Army 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 OD Army 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9" t="7220" r="12809" b="8096"/>
                    <a:stretch/>
                  </pic:blipFill>
                  <pic:spPr bwMode="auto">
                    <a:xfrm>
                      <a:off x="0" y="0"/>
                      <a:ext cx="75692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12" w:rsidRPr="00646CFA">
        <w:rPr>
          <w:rFonts w:ascii="Century Gothic" w:eastAsia="Times New Roman" w:hAnsi="Century Gothic" w:cs="Times New Roman"/>
          <w:bCs/>
          <w:color w:val="403152" w:themeColor="accent4" w:themeShade="80"/>
          <w:spacing w:val="40"/>
          <w:sz w:val="36"/>
          <w:szCs w:val="36"/>
        </w:rPr>
        <w:t>CEASE FIRE</w:t>
      </w:r>
      <w:r w:rsidR="00B85612" w:rsidRPr="00646CFA">
        <w:rPr>
          <w:rFonts w:ascii="Century Gothic" w:eastAsia="Times New Roman" w:hAnsi="Century Gothic" w:cs="Times New Roman"/>
          <w:bCs/>
          <w:color w:val="403152" w:themeColor="accent4" w:themeShade="80"/>
          <w:sz w:val="36"/>
          <w:szCs w:val="36"/>
        </w:rPr>
        <w:t xml:space="preserve"> </w:t>
      </w:r>
      <w:r w:rsidR="00B85612" w:rsidRPr="00646CFA">
        <w:rPr>
          <w:rFonts w:ascii="Century Gothic" w:eastAsia="Times New Roman" w:hAnsi="Century Gothic" w:cs="Times New Roman"/>
          <w:bCs/>
          <w:color w:val="403152" w:themeColor="accent4" w:themeShade="80"/>
          <w:sz w:val="32"/>
          <w:szCs w:val="32"/>
        </w:rPr>
        <w:t>Campaign</w:t>
      </w:r>
    </w:p>
    <w:p w:rsidR="00B85612" w:rsidRPr="00FB32EF" w:rsidRDefault="00B85612" w:rsidP="003036DC">
      <w:pPr>
        <w:pBdr>
          <w:bottom w:val="single" w:sz="4" w:space="1" w:color="auto"/>
        </w:pBdr>
        <w:outlineLvl w:val="4"/>
        <w:rPr>
          <w:rFonts w:ascii="Candara" w:eastAsia="Times New Roman" w:hAnsi="Candara" w:cs="Microsoft Sans Serif"/>
          <w:bCs/>
          <w:i/>
          <w:color w:val="76923C" w:themeColor="accent3" w:themeShade="BF"/>
        </w:rPr>
      </w:pPr>
      <w:r w:rsidRPr="00FB32EF">
        <w:rPr>
          <w:rFonts w:ascii="Candara" w:eastAsia="Times New Roman" w:hAnsi="Candara" w:cs="Microsoft Sans Serif"/>
          <w:bCs/>
          <w:i/>
          <w:color w:val="76923C" w:themeColor="accent3" w:themeShade="BF"/>
        </w:rPr>
        <w:t>A Grassroots Campaign to End Burning &amp; Incineration of Waste Munitions</w:t>
      </w:r>
    </w:p>
    <w:p w:rsidR="00646CFA" w:rsidRDefault="00646CFA" w:rsidP="00646CFA">
      <w:pPr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:rsidR="00646CFA" w:rsidRPr="00646CFA" w:rsidRDefault="00646CFA" w:rsidP="00646CFA">
      <w:pPr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3036DC" w:rsidRDefault="00646CFA" w:rsidP="00646CFA">
      <w:pPr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References for our W</w:t>
      </w:r>
      <w:r w:rsidR="003036DC" w:rsidRPr="00646CF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ebpage</w:t>
      </w:r>
    </w:p>
    <w:p w:rsidR="00646CFA" w:rsidRDefault="00646CFA" w:rsidP="00646CFA">
      <w:pPr>
        <w:outlineLvl w:val="4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7" w:history="1"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Board on Army Science and Technology, Division on Engineer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i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ng and Physical Sciences, National Research Council, Review of the Army Non-Stockpile Chemica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l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Materiel Disposal Program, Disposal of Neutralent Wastes, Committee on Review and Evaluation of the Army Non-Stockpile Chemical Materiel Disposal Program, 2001</w:t>
        </w:r>
      </w:hyperlink>
      <w:r w:rsidRPr="00646CFA">
        <w:rPr>
          <w:rFonts w:eastAsia="Times New Roman" w:cs="Times New Roman"/>
          <w:bCs/>
          <w:color w:val="000000"/>
          <w:sz w:val="20"/>
          <w:szCs w:val="20"/>
        </w:rPr>
        <w:t>.</w:t>
      </w:r>
      <w:proofErr w:type="gramEnd"/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8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Inspector General, U.S. Department of Defense, Semiannual Report to the Congress, October 1, 2013 to March 31, 2014 as required by 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P</w:t>
        </w:r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ublic Law 95-452, pages 46-48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9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J. Wilkinson, Royal Australian Navy and D. Watt, NATO Munitions Safety Information Analysis Center, Review of </w:t>
        </w:r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Demilitarisation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and Disposal Techniques for Munitions and Related Materials, Executive Summary, January 2006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0" w:history="1"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Kunzli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</w:t>
        </w:r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et</w:t>
        </w:r>
        <w:proofErr w:type="gram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al.2005. </w:t>
        </w:r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Ambient Air Pollution and Atherosclerosis in Los Angeles.</w:t>
        </w:r>
        <w:proofErr w:type="gram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Environmental Health Perspectives, 113(2): 201-206.</w:t>
        </w:r>
      </w:hyperlink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1" w:history="1">
        <w:proofErr w:type="spellStart"/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Lousiana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Progress Action, Safe Disposal Methods, undated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  <w:proofErr w:type="gramEnd"/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2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LTC Brian W. </w:t>
        </w:r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Raftery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, Conventional Ammunition Demilitarization (</w:t>
        </w:r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Demil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) – A Growing Challenge, Acquisition, Logistics and Technology (US Army magazine), January – March 2008.</w:t>
        </w:r>
      </w:hyperlink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3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Peter </w:t>
        </w:r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deFur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et al, Neighborhood Cleanup: Threats to Human Health from Hazardous Waste at the former Fort Ord, Information to Encourage Community Involvement in the Remediation of a Superfund Site, requested by the Fort Ord Environmental Justice Network, 2009.</w:t>
        </w:r>
      </w:hyperlink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4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Non-Stockpile Chemical Weapons Citizens Coalition, Media Release: NRC Report Finds “Low Risk” Technologies for Chemical Weapons Waste; Recommends Great Public Involvement in Waste Disposal Issues, April 13, 2001.</w:t>
        </w:r>
      </w:hyperlink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5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Open Burning Ground, Renewal Alternative Treatment Analysis, Alternative Technologies to Open Burning of Propellants, Radford Army Ammunition Plant, 2015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6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R. Martel et al, Assessment of the Impacts of Military Training on Soil and Groundwater at CFB </w:t>
        </w:r>
        <w:proofErr w:type="spell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Shilo</w:t>
        </w:r>
        <w:proofErr w:type="spell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, Manitoba, Canada, NATO Technical Report: Environmental Impact of Munitions and Propellant Disposal, February 2010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7" w:history="1"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Small Arms Survey, Graduate Institute of International and Development Studies, Geneva.</w:t>
        </w:r>
        <w:proofErr w:type="gram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Small Arms Survey 2013: Everyday Dangers, Pages 206-207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8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Tetra Tech, Inc. prepared for U.S. Environmental Protection Agency Region III, Draft Final Open Burning/Open Detonation Permitting Guidelines, </w:t>
        </w:r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February</w:t>
        </w:r>
        <w:proofErr w:type="gram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2002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19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U.S. Government Accountability Office, GAO-01-372, </w:t>
        </w:r>
        <w:proofErr w:type="gramStart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Defense</w:t>
        </w:r>
        <w:proofErr w:type="gramEnd"/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 xml:space="preserve"> Inventory: Steps the Army Can Take to Improve the Management and Oversight of Excess Ammunition, Appendix II: Comments From the Department of Defense, page 23, 2001</w:t>
        </w:r>
      </w:hyperlink>
      <w:r w:rsidRPr="00646CFA">
        <w:rPr>
          <w:rFonts w:eastAsia="Times New Roman" w:cs="Times New Roman"/>
          <w:bCs/>
          <w:sz w:val="20"/>
          <w:szCs w:val="20"/>
        </w:rPr>
        <w:t>.</w:t>
      </w:r>
    </w:p>
    <w:p w:rsidR="00646CFA" w:rsidRPr="00646CFA" w:rsidRDefault="00646CFA" w:rsidP="00646CFA">
      <w:pPr>
        <w:spacing w:after="120"/>
        <w:outlineLvl w:val="4"/>
        <w:rPr>
          <w:rFonts w:eastAsia="Times New Roman" w:cs="Times New Roman"/>
          <w:bCs/>
          <w:sz w:val="20"/>
          <w:szCs w:val="20"/>
        </w:rPr>
      </w:pPr>
      <w:hyperlink r:id="rId20" w:history="1">
        <w:r w:rsidRPr="00646CFA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U.S. Government Accountability Office, GAO-15-538: Improved Data and Information Sharing Could Aid in DOD’s Management of Ammunition Categorized for Disposal, page 20, July 2015</w:t>
        </w:r>
      </w:hyperlink>
    </w:p>
    <w:p w:rsidR="003036DC" w:rsidRDefault="003036DC" w:rsidP="003036DC">
      <w:pPr>
        <w:spacing w:after="60"/>
      </w:pPr>
    </w:p>
    <w:p w:rsidR="003036DC" w:rsidRPr="00FB32EF" w:rsidRDefault="003036DC" w:rsidP="00FB32EF">
      <w:pPr>
        <w:spacing w:after="60"/>
        <w:jc w:val="right"/>
        <w:rPr>
          <w:color w:val="76923C" w:themeColor="accent3" w:themeShade="BF"/>
          <w:sz w:val="20"/>
          <w:szCs w:val="20"/>
        </w:rPr>
      </w:pPr>
      <w:r w:rsidRPr="00FB32EF">
        <w:rPr>
          <w:color w:val="76923C" w:themeColor="accent3" w:themeShade="BF"/>
          <w:sz w:val="20"/>
          <w:szCs w:val="20"/>
        </w:rPr>
        <w:t>Posted by:</w:t>
      </w:r>
    </w:p>
    <w:p w:rsidR="003036DC" w:rsidRPr="00646CFA" w:rsidRDefault="003036DC" w:rsidP="00FB32EF">
      <w:pPr>
        <w:jc w:val="right"/>
        <w:rPr>
          <w:sz w:val="18"/>
          <w:szCs w:val="18"/>
        </w:rPr>
      </w:pPr>
      <w:r w:rsidRPr="00646CFA">
        <w:rPr>
          <w:sz w:val="18"/>
          <w:szCs w:val="18"/>
        </w:rPr>
        <w:t>Laura Olah, Executive Director</w:t>
      </w:r>
    </w:p>
    <w:p w:rsidR="003036DC" w:rsidRPr="00646CFA" w:rsidRDefault="003036DC" w:rsidP="00FB32EF">
      <w:pPr>
        <w:jc w:val="right"/>
        <w:rPr>
          <w:sz w:val="18"/>
          <w:szCs w:val="18"/>
        </w:rPr>
      </w:pPr>
      <w:r w:rsidRPr="00646CFA">
        <w:rPr>
          <w:sz w:val="18"/>
          <w:szCs w:val="18"/>
        </w:rPr>
        <w:t xml:space="preserve">Citizens for Safe Water </w:t>
      </w:r>
      <w:proofErr w:type="gramStart"/>
      <w:r w:rsidRPr="00646CFA">
        <w:rPr>
          <w:sz w:val="18"/>
          <w:szCs w:val="18"/>
        </w:rPr>
        <w:t>Around</w:t>
      </w:r>
      <w:proofErr w:type="gramEnd"/>
      <w:r w:rsidRPr="00646CFA">
        <w:rPr>
          <w:sz w:val="18"/>
          <w:szCs w:val="18"/>
        </w:rPr>
        <w:t xml:space="preserve"> Badger (CSWAB)</w:t>
      </w:r>
    </w:p>
    <w:p w:rsidR="003036DC" w:rsidRPr="00646CFA" w:rsidRDefault="003036DC" w:rsidP="00FB32EF">
      <w:pPr>
        <w:jc w:val="right"/>
        <w:rPr>
          <w:sz w:val="18"/>
          <w:szCs w:val="18"/>
        </w:rPr>
      </w:pPr>
      <w:r w:rsidRPr="00646CFA">
        <w:rPr>
          <w:sz w:val="18"/>
          <w:szCs w:val="18"/>
        </w:rPr>
        <w:t xml:space="preserve">(608)643-3124  </w:t>
      </w:r>
    </w:p>
    <w:p w:rsidR="003036DC" w:rsidRPr="00646CFA" w:rsidRDefault="003036DC" w:rsidP="00FB32EF">
      <w:pPr>
        <w:jc w:val="right"/>
        <w:rPr>
          <w:sz w:val="18"/>
          <w:szCs w:val="18"/>
        </w:rPr>
      </w:pPr>
      <w:hyperlink r:id="rId21" w:history="1">
        <w:r w:rsidRPr="00646CFA">
          <w:rPr>
            <w:rStyle w:val="Hyperlink"/>
            <w:sz w:val="18"/>
            <w:szCs w:val="18"/>
          </w:rPr>
          <w:t>info@cswab.org</w:t>
        </w:r>
      </w:hyperlink>
      <w:r w:rsidRPr="00646CFA">
        <w:rPr>
          <w:sz w:val="18"/>
          <w:szCs w:val="18"/>
        </w:rPr>
        <w:t xml:space="preserve">   </w:t>
      </w:r>
    </w:p>
    <w:p w:rsidR="003036DC" w:rsidRPr="00646CFA" w:rsidRDefault="003036DC" w:rsidP="00FB32EF">
      <w:pPr>
        <w:jc w:val="right"/>
        <w:rPr>
          <w:sz w:val="18"/>
          <w:szCs w:val="18"/>
        </w:rPr>
      </w:pPr>
      <w:hyperlink r:id="rId22" w:history="1">
        <w:r w:rsidRPr="00646CFA">
          <w:rPr>
            <w:rStyle w:val="Hyperlink"/>
            <w:sz w:val="18"/>
            <w:szCs w:val="18"/>
          </w:rPr>
          <w:t>http://cswab.org/resources/cease-fire-campaign/</w:t>
        </w:r>
      </w:hyperlink>
    </w:p>
    <w:p w:rsidR="00FB32EF" w:rsidRDefault="00FB32EF" w:rsidP="00FB32EF">
      <w:pPr>
        <w:jc w:val="right"/>
        <w:rPr>
          <w:color w:val="76923C" w:themeColor="accent3" w:themeShade="BF"/>
          <w:sz w:val="16"/>
          <w:szCs w:val="16"/>
        </w:rPr>
      </w:pPr>
    </w:p>
    <w:p w:rsidR="00646CFA" w:rsidRPr="00FB32EF" w:rsidRDefault="00646CFA" w:rsidP="00FB32EF">
      <w:pPr>
        <w:jc w:val="right"/>
        <w:rPr>
          <w:sz w:val="16"/>
          <w:szCs w:val="16"/>
        </w:rPr>
      </w:pPr>
      <w:r w:rsidRPr="00FB32EF">
        <w:rPr>
          <w:sz w:val="16"/>
          <w:szCs w:val="16"/>
        </w:rPr>
        <w:t>2015</w:t>
      </w:r>
    </w:p>
    <w:p w:rsidR="003036DC" w:rsidRPr="00FB32EF" w:rsidRDefault="003036DC" w:rsidP="003036DC">
      <w:pPr>
        <w:spacing w:after="60"/>
      </w:pPr>
    </w:p>
    <w:sectPr w:rsidR="003036DC" w:rsidRPr="00FB32EF" w:rsidSect="00646CF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A"/>
    <w:rsid w:val="003036DC"/>
    <w:rsid w:val="004B759A"/>
    <w:rsid w:val="00646CFA"/>
    <w:rsid w:val="008D1CC9"/>
    <w:rsid w:val="00B85612"/>
    <w:rsid w:val="00F90D7D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g.mil/pubs/sar/SAR_MAR_2014_FINAL_compliant.pdf" TargetMode="External"/><Relationship Id="rId13" Type="http://schemas.openxmlformats.org/officeDocument/2006/relationships/hyperlink" Target="https://d10k7k7mywg42z.cloudfront.net/assets/4dcae5fedabe9d661900047d/ft_ord_health_threats_white_paper_9.14.pdf" TargetMode="External"/><Relationship Id="rId18" Type="http://schemas.openxmlformats.org/officeDocument/2006/relationships/hyperlink" Target="http://www3.epa.gov/reg3wcmd/ca/pdf/RCRA_OpenBurnOpenDet_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swab.org" TargetMode="External"/><Relationship Id="rId7" Type="http://schemas.openxmlformats.org/officeDocument/2006/relationships/hyperlink" Target="http://www.nap.edu/catalog/10091/review-and-evaluation-of-the-army-non-stockpile-chemical-materiel-disposal-program" TargetMode="External"/><Relationship Id="rId12" Type="http://schemas.openxmlformats.org/officeDocument/2006/relationships/hyperlink" Target="http://asc.army.mil/docs/pubs/alt/2008/1_JanFebMar/articles/38_Conventional_Ammunition_Demilitarization_%28Demil%29_--_A_Growing_Challenge_200801.pdf" TargetMode="External"/><Relationship Id="rId17" Type="http://schemas.openxmlformats.org/officeDocument/2006/relationships/hyperlink" Target="http://www.smallarmssurvey.org/publications/by-type/yearbook/small-arms-survey-201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derwatermunitions.org/EnvironmentalImpact_of_Munition_and_propellant_disposal_-_NATO.pdf" TargetMode="External"/><Relationship Id="rId20" Type="http://schemas.openxmlformats.org/officeDocument/2006/relationships/hyperlink" Target="http://www.gao.gov/assets/680/671536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ouisianaprogressaction.org/2-2/317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swab.org/safewater/wp-content/uploads/2015/10/OB-OD-Army-photo1.jpg" TargetMode="External"/><Relationship Id="rId15" Type="http://schemas.openxmlformats.org/officeDocument/2006/relationships/hyperlink" Target="http://www.deq.virginia.gov/Portals/0/DEQ/ConnectwithDEQ/EnvironmentalInformation/RAAP/RAAPFactShe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mc/articles/PMC1277865/" TargetMode="External"/><Relationship Id="rId19" Type="http://schemas.openxmlformats.org/officeDocument/2006/relationships/hyperlink" Target="http://www.gao.gov/assets/240/2313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rinitiative.org/pdfs/MSIAC-2006.pdf" TargetMode="External"/><Relationship Id="rId14" Type="http://schemas.openxmlformats.org/officeDocument/2006/relationships/hyperlink" Target="http://www.cwwg.org/pr_04.13.01nsnrcreport.html" TargetMode="External"/><Relationship Id="rId22" Type="http://schemas.openxmlformats.org/officeDocument/2006/relationships/hyperlink" Target="http://cswab.org/resources/cease-fire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2016-01-11T14:05:00Z</dcterms:created>
  <dcterms:modified xsi:type="dcterms:W3CDTF">2016-01-11T14:50:00Z</dcterms:modified>
</cp:coreProperties>
</file>